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11" w:rsidRPr="00224AE0" w:rsidRDefault="00377511" w:rsidP="00377511">
      <w:pPr>
        <w:pStyle w:val="a3"/>
        <w:jc w:val="center"/>
        <w:rPr>
          <w:rFonts w:ascii="Times New Roman" w:hAnsi="Times New Roman"/>
          <w:lang w:val="uk-UA"/>
        </w:rPr>
      </w:pPr>
      <w:r w:rsidRPr="00224AE0">
        <w:rPr>
          <w:rFonts w:ascii="Times New Roman" w:hAnsi="Times New Roman"/>
          <w:lang w:val="uk-UA"/>
        </w:rPr>
        <w:t>«Повідомлення про проведення загальних зборів</w:t>
      </w:r>
    </w:p>
    <w:p w:rsidR="00377511" w:rsidRPr="00224AE0" w:rsidRDefault="00377511" w:rsidP="00377511">
      <w:pPr>
        <w:pStyle w:val="a3"/>
        <w:jc w:val="center"/>
        <w:rPr>
          <w:rFonts w:ascii="Times New Roman" w:hAnsi="Times New Roman"/>
          <w:lang w:val="uk-UA"/>
        </w:rPr>
      </w:pPr>
      <w:r w:rsidRPr="00224AE0">
        <w:rPr>
          <w:rFonts w:ascii="Times New Roman" w:hAnsi="Times New Roman"/>
          <w:lang w:val="uk-UA"/>
        </w:rPr>
        <w:t>Публічного акціонерного товариства «Коростенський кар’єр»</w:t>
      </w:r>
    </w:p>
    <w:p w:rsidR="00377511" w:rsidRPr="00224AE0" w:rsidRDefault="00377511" w:rsidP="00377511">
      <w:pPr>
        <w:pStyle w:val="a3"/>
        <w:jc w:val="center"/>
        <w:rPr>
          <w:rFonts w:ascii="Times New Roman" w:hAnsi="Times New Roman"/>
          <w:lang w:val="uk-UA"/>
        </w:rPr>
      </w:pPr>
    </w:p>
    <w:p w:rsidR="00377511" w:rsidRPr="00224AE0" w:rsidRDefault="00377511" w:rsidP="00377511">
      <w:pPr>
        <w:pStyle w:val="a3"/>
        <w:ind w:firstLine="567"/>
        <w:jc w:val="both"/>
        <w:rPr>
          <w:rFonts w:ascii="Times New Roman" w:hAnsi="Times New Roman"/>
          <w:lang w:val="uk-UA"/>
        </w:rPr>
      </w:pPr>
      <w:r w:rsidRPr="00224AE0">
        <w:rPr>
          <w:rFonts w:ascii="Times New Roman" w:hAnsi="Times New Roman"/>
          <w:lang w:val="uk-UA"/>
        </w:rPr>
        <w:t>27 квітня 2018 року об 12.00 годині в залі засідань ПАТ «Коростенський кар’єр» (код за ЄДРПОУ 00292422,  місцезнаходження: 11509, Житомирська обл., Коростенський р-н, м. Коростень, вул. В. Сосновського, 67)  за адресою: Житомирська обл., Коростенський р-н, м. Коростень, вул. В. Сосновського, 67, актовий зал № 1, відбудуться річні загальні збори Публічного акціонерного товариства «Коростенський кар’єр» (надалі- Товариство). Реєстрація акціонерів (їх представників) проводитиметься з 11.00 до 11.45 години за місцем проведення загальних зборів.</w:t>
      </w:r>
    </w:p>
    <w:p w:rsidR="00377511" w:rsidRPr="00224AE0" w:rsidRDefault="00377511" w:rsidP="00377511">
      <w:pPr>
        <w:pStyle w:val="a3"/>
        <w:ind w:firstLine="567"/>
        <w:jc w:val="both"/>
        <w:rPr>
          <w:rFonts w:ascii="Times New Roman" w:hAnsi="Times New Roman"/>
          <w:lang w:val="uk-UA"/>
        </w:rPr>
      </w:pPr>
      <w:r w:rsidRPr="00224AE0">
        <w:rPr>
          <w:rFonts w:ascii="Times New Roman" w:hAnsi="Times New Roman"/>
          <w:lang w:val="uk-UA"/>
        </w:rPr>
        <w:t>Дата складання переліку акціонерів, які мають право на участь в загальних зборах - 23.04.2018.</w:t>
      </w:r>
    </w:p>
    <w:p w:rsidR="00377511" w:rsidRPr="00224AE0" w:rsidRDefault="00377511" w:rsidP="00377511">
      <w:pPr>
        <w:pStyle w:val="a3"/>
        <w:jc w:val="center"/>
        <w:rPr>
          <w:rFonts w:ascii="Times New Roman" w:hAnsi="Times New Roman"/>
          <w:b/>
          <w:snapToGrid w:val="0"/>
          <w:lang w:val="uk-UA"/>
        </w:rPr>
      </w:pPr>
    </w:p>
    <w:p w:rsidR="00377511" w:rsidRPr="00224AE0" w:rsidRDefault="00377511" w:rsidP="00377511">
      <w:pPr>
        <w:pStyle w:val="a3"/>
        <w:jc w:val="center"/>
        <w:rPr>
          <w:rFonts w:ascii="Times New Roman" w:hAnsi="Times New Roman"/>
          <w:b/>
          <w:snapToGrid w:val="0"/>
          <w:lang w:val="uk-UA"/>
        </w:rPr>
      </w:pPr>
      <w:r w:rsidRPr="00224AE0">
        <w:rPr>
          <w:rFonts w:ascii="Times New Roman" w:hAnsi="Times New Roman"/>
          <w:b/>
          <w:snapToGrid w:val="0"/>
          <w:lang w:val="uk-UA"/>
        </w:rPr>
        <w:t>Проект порядку денного</w:t>
      </w:r>
    </w:p>
    <w:p w:rsidR="00377511" w:rsidRPr="00224AE0" w:rsidRDefault="00377511" w:rsidP="00377511">
      <w:pPr>
        <w:pStyle w:val="a3"/>
        <w:jc w:val="center"/>
        <w:rPr>
          <w:rFonts w:ascii="Times New Roman" w:hAnsi="Times New Roman"/>
          <w:b/>
          <w:snapToGrid w:val="0"/>
          <w:lang w:val="uk-UA"/>
        </w:rPr>
      </w:pPr>
      <w:r w:rsidRPr="00224AE0">
        <w:rPr>
          <w:rFonts w:ascii="Times New Roman" w:hAnsi="Times New Roman"/>
          <w:b/>
          <w:snapToGrid w:val="0"/>
          <w:lang w:val="uk-UA"/>
        </w:rPr>
        <w:t>та проекти рішень з питань проекту порядку денного річних загальних зборів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5086"/>
      </w:tblGrid>
      <w:tr w:rsidR="00377511" w:rsidRPr="00224AE0" w:rsidTr="007A4A50">
        <w:tc>
          <w:tcPr>
            <w:tcW w:w="4645" w:type="dxa"/>
            <w:shd w:val="clear" w:color="auto" w:fill="auto"/>
          </w:tcPr>
          <w:p w:rsidR="00377511" w:rsidRPr="00224AE0" w:rsidRDefault="00377511" w:rsidP="007A4A50">
            <w:pPr>
              <w:pStyle w:val="a3"/>
              <w:jc w:val="center"/>
              <w:rPr>
                <w:rFonts w:ascii="Times New Roman" w:hAnsi="Times New Roman"/>
                <w:lang w:val="uk-UA"/>
              </w:rPr>
            </w:pPr>
            <w:r w:rsidRPr="00224AE0">
              <w:rPr>
                <w:rFonts w:ascii="Times New Roman" w:hAnsi="Times New Roman"/>
                <w:lang w:val="uk-UA"/>
              </w:rPr>
              <w:t>Питання порядку денного</w:t>
            </w:r>
          </w:p>
        </w:tc>
        <w:tc>
          <w:tcPr>
            <w:tcW w:w="5210" w:type="dxa"/>
            <w:shd w:val="clear" w:color="auto" w:fill="auto"/>
          </w:tcPr>
          <w:p w:rsidR="00377511" w:rsidRPr="00224AE0" w:rsidRDefault="00377511" w:rsidP="007A4A50">
            <w:pPr>
              <w:spacing w:after="0" w:line="240" w:lineRule="auto"/>
              <w:jc w:val="center"/>
              <w:rPr>
                <w:rFonts w:ascii="Times New Roman" w:hAnsi="Times New Roman"/>
              </w:rPr>
            </w:pPr>
            <w:r w:rsidRPr="00224AE0">
              <w:rPr>
                <w:rFonts w:ascii="Times New Roman" w:hAnsi="Times New Roman"/>
              </w:rPr>
              <w:t>Проект рішення загальних зборів</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1</w:t>
            </w:r>
            <w:r w:rsidRPr="00224AE0">
              <w:rPr>
                <w:rFonts w:ascii="Times New Roman" w:hAnsi="Times New Roman"/>
                <w:lang w:val="uk-UA"/>
              </w:rPr>
              <w:t xml:space="preserve"> Обрання лічильної комісії.</w:t>
            </w:r>
          </w:p>
          <w:p w:rsidR="00377511" w:rsidRPr="00224AE0" w:rsidRDefault="00377511" w:rsidP="007A4A50">
            <w:pPr>
              <w:pStyle w:val="a3"/>
              <w:rPr>
                <w:rFonts w:ascii="Times New Roman" w:hAnsi="Times New Roman"/>
                <w:lang w:val="uk-UA"/>
              </w:rPr>
            </w:pPr>
          </w:p>
        </w:tc>
        <w:tc>
          <w:tcPr>
            <w:tcW w:w="5210"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 xml:space="preserve">1 </w:t>
            </w:r>
            <w:r w:rsidRPr="00224AE0">
              <w:rPr>
                <w:rFonts w:ascii="Times New Roman" w:hAnsi="Times New Roman"/>
                <w:lang w:val="uk-UA"/>
              </w:rPr>
              <w:t>Обрати лічильну комісію чергових загальних зборів Товариства у складі 3-х осіб:</w:t>
            </w:r>
          </w:p>
          <w:p w:rsidR="00377511" w:rsidRPr="00224AE0" w:rsidRDefault="00377511" w:rsidP="007A4A50">
            <w:pPr>
              <w:pStyle w:val="a3"/>
              <w:ind w:left="46"/>
              <w:rPr>
                <w:rFonts w:ascii="Times New Roman" w:hAnsi="Times New Roman"/>
                <w:lang w:val="uk-UA"/>
              </w:rPr>
            </w:pPr>
            <w:r w:rsidRPr="00224AE0">
              <w:rPr>
                <w:rFonts w:ascii="Times New Roman" w:hAnsi="Times New Roman"/>
                <w:lang w:val="uk-UA"/>
              </w:rPr>
              <w:t xml:space="preserve">Голова комісії – </w:t>
            </w:r>
            <w:proofErr w:type="spellStart"/>
            <w:r w:rsidRPr="00224AE0">
              <w:rPr>
                <w:rFonts w:ascii="Times New Roman" w:hAnsi="Times New Roman"/>
                <w:lang w:val="uk-UA"/>
              </w:rPr>
              <w:t>Малинівська</w:t>
            </w:r>
            <w:proofErr w:type="spellEnd"/>
            <w:r w:rsidRPr="00224AE0">
              <w:rPr>
                <w:rFonts w:ascii="Times New Roman" w:hAnsi="Times New Roman"/>
                <w:lang w:val="uk-UA"/>
              </w:rPr>
              <w:t xml:space="preserve"> Наталія Леонідівна, </w:t>
            </w:r>
          </w:p>
          <w:p w:rsidR="00377511" w:rsidRPr="00224AE0" w:rsidRDefault="00377511" w:rsidP="007A4A50">
            <w:pPr>
              <w:pStyle w:val="a3"/>
              <w:ind w:left="46"/>
              <w:rPr>
                <w:rFonts w:ascii="Times New Roman" w:hAnsi="Times New Roman"/>
                <w:lang w:val="uk-UA"/>
              </w:rPr>
            </w:pPr>
            <w:r w:rsidRPr="00224AE0">
              <w:rPr>
                <w:rFonts w:ascii="Times New Roman" w:hAnsi="Times New Roman"/>
                <w:lang w:val="uk-UA"/>
              </w:rPr>
              <w:t xml:space="preserve">Члени лічильної комісії: </w:t>
            </w:r>
            <w:proofErr w:type="spellStart"/>
            <w:r w:rsidRPr="00224AE0">
              <w:rPr>
                <w:rFonts w:ascii="Times New Roman" w:hAnsi="Times New Roman"/>
                <w:lang w:val="uk-UA"/>
              </w:rPr>
              <w:t>Білошицька</w:t>
            </w:r>
            <w:proofErr w:type="spellEnd"/>
            <w:r w:rsidRPr="00224AE0">
              <w:rPr>
                <w:rFonts w:ascii="Times New Roman" w:hAnsi="Times New Roman"/>
                <w:lang w:val="uk-UA"/>
              </w:rPr>
              <w:t xml:space="preserve"> Марія Василівна, </w:t>
            </w:r>
            <w:proofErr w:type="spellStart"/>
            <w:r w:rsidRPr="00224AE0">
              <w:rPr>
                <w:rFonts w:ascii="Times New Roman" w:hAnsi="Times New Roman"/>
                <w:lang w:val="uk-UA"/>
              </w:rPr>
              <w:t>Філоненко</w:t>
            </w:r>
            <w:proofErr w:type="spellEnd"/>
            <w:r w:rsidRPr="00224AE0">
              <w:rPr>
                <w:rFonts w:ascii="Times New Roman" w:hAnsi="Times New Roman"/>
                <w:lang w:val="uk-UA"/>
              </w:rPr>
              <w:t xml:space="preserve"> Тетяна Іванівна..</w:t>
            </w:r>
          </w:p>
          <w:p w:rsidR="00377511" w:rsidRPr="00224AE0" w:rsidRDefault="00377511" w:rsidP="007A4A50">
            <w:pPr>
              <w:pStyle w:val="a3"/>
              <w:ind w:left="46"/>
              <w:rPr>
                <w:rFonts w:ascii="Times New Roman" w:hAnsi="Times New Roman"/>
                <w:lang w:val="uk-UA"/>
              </w:rPr>
            </w:pPr>
            <w:r w:rsidRPr="00224AE0">
              <w:rPr>
                <w:rFonts w:ascii="Times New Roman" w:hAnsi="Times New Roman"/>
                <w:lang w:val="uk-UA"/>
              </w:rPr>
              <w:t>Повноваження членів лічильної комісії припинити після виконання покладених на них обов’язків у повному обсязі.</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2</w:t>
            </w:r>
            <w:r w:rsidRPr="00224AE0">
              <w:rPr>
                <w:rFonts w:ascii="Times New Roman" w:hAnsi="Times New Roman"/>
                <w:lang w:val="uk-UA"/>
              </w:rPr>
              <w:t xml:space="preserve"> Обрання секретаря загальних зборів.</w:t>
            </w:r>
          </w:p>
          <w:p w:rsidR="00377511" w:rsidRPr="00224AE0" w:rsidRDefault="00377511" w:rsidP="007A4A50">
            <w:pPr>
              <w:pStyle w:val="a3"/>
              <w:rPr>
                <w:rFonts w:ascii="Times New Roman" w:hAnsi="Times New Roman"/>
                <w:lang w:val="uk-UA"/>
              </w:rPr>
            </w:pPr>
          </w:p>
        </w:tc>
        <w:tc>
          <w:tcPr>
            <w:tcW w:w="5210" w:type="dxa"/>
            <w:shd w:val="clear" w:color="auto" w:fill="auto"/>
          </w:tcPr>
          <w:p w:rsidR="00377511" w:rsidRPr="00224AE0" w:rsidRDefault="00377511" w:rsidP="007A4A50">
            <w:pPr>
              <w:spacing w:after="0" w:line="240" w:lineRule="auto"/>
              <w:rPr>
                <w:rFonts w:ascii="Times New Roman" w:hAnsi="Times New Roman"/>
              </w:rPr>
            </w:pPr>
            <w:r w:rsidRPr="00224AE0">
              <w:rPr>
                <w:rFonts w:ascii="Times New Roman" w:hAnsi="Times New Roman"/>
                <w:b/>
              </w:rPr>
              <w:t>2</w:t>
            </w:r>
            <w:r w:rsidRPr="00224AE0">
              <w:rPr>
                <w:rFonts w:ascii="Times New Roman" w:hAnsi="Times New Roman"/>
              </w:rPr>
              <w:t xml:space="preserve"> Обрати секретарем загальних зборів Авраменко Ірину Анатоліївну.</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3</w:t>
            </w:r>
            <w:r w:rsidRPr="00224AE0">
              <w:rPr>
                <w:rFonts w:ascii="Times New Roman" w:hAnsi="Times New Roman"/>
                <w:lang w:val="uk-UA"/>
              </w:rPr>
              <w:t xml:space="preserve"> Затвердження регламенту проведення загальних зборів.</w:t>
            </w:r>
          </w:p>
          <w:p w:rsidR="00377511" w:rsidRPr="00224AE0" w:rsidRDefault="00377511" w:rsidP="007A4A50">
            <w:pPr>
              <w:pStyle w:val="a3"/>
              <w:rPr>
                <w:rFonts w:ascii="Times New Roman" w:hAnsi="Times New Roman"/>
                <w:lang w:val="uk-UA"/>
              </w:rPr>
            </w:pPr>
          </w:p>
        </w:tc>
        <w:tc>
          <w:tcPr>
            <w:tcW w:w="5210"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3</w:t>
            </w:r>
            <w:r w:rsidRPr="00224AE0">
              <w:rPr>
                <w:rFonts w:ascii="Times New Roman" w:hAnsi="Times New Roman"/>
                <w:lang w:val="uk-UA"/>
              </w:rPr>
              <w:t xml:space="preserve"> Затвердити регламент проведення загальних зборів:</w:t>
            </w:r>
          </w:p>
          <w:p w:rsidR="00377511" w:rsidRPr="00224AE0" w:rsidRDefault="00377511" w:rsidP="007A4A50">
            <w:pPr>
              <w:pStyle w:val="a3"/>
              <w:rPr>
                <w:rFonts w:ascii="Times New Roman" w:hAnsi="Times New Roman"/>
                <w:lang w:val="uk-UA"/>
              </w:rPr>
            </w:pPr>
            <w:r w:rsidRPr="00224AE0">
              <w:rPr>
                <w:rFonts w:ascii="Times New Roman" w:hAnsi="Times New Roman"/>
                <w:lang w:val="uk-UA"/>
              </w:rPr>
              <w:t>основна доповідь - 10 хв.;</w:t>
            </w:r>
          </w:p>
          <w:p w:rsidR="00377511" w:rsidRPr="00224AE0" w:rsidRDefault="00377511" w:rsidP="007A4A50">
            <w:pPr>
              <w:pStyle w:val="a3"/>
              <w:rPr>
                <w:rFonts w:ascii="Times New Roman" w:hAnsi="Times New Roman"/>
                <w:lang w:val="uk-UA"/>
              </w:rPr>
            </w:pPr>
            <w:r w:rsidRPr="00224AE0">
              <w:rPr>
                <w:rFonts w:ascii="Times New Roman" w:hAnsi="Times New Roman"/>
                <w:lang w:val="uk-UA"/>
              </w:rPr>
              <w:t>співдоповідь – 3 хв.;</w:t>
            </w:r>
          </w:p>
          <w:p w:rsidR="00377511" w:rsidRPr="00224AE0" w:rsidRDefault="00377511" w:rsidP="007A4A50">
            <w:pPr>
              <w:pStyle w:val="a3"/>
              <w:rPr>
                <w:rFonts w:ascii="Times New Roman" w:hAnsi="Times New Roman"/>
                <w:lang w:val="uk-UA"/>
              </w:rPr>
            </w:pPr>
            <w:r w:rsidRPr="00224AE0">
              <w:rPr>
                <w:rFonts w:ascii="Times New Roman" w:hAnsi="Times New Roman"/>
                <w:lang w:val="uk-UA"/>
              </w:rPr>
              <w:t>виступи в дебатах -  3 хв.;</w:t>
            </w:r>
          </w:p>
          <w:p w:rsidR="00377511" w:rsidRPr="00224AE0" w:rsidRDefault="00377511" w:rsidP="007A4A50">
            <w:pPr>
              <w:pStyle w:val="a3"/>
              <w:rPr>
                <w:rFonts w:ascii="Times New Roman" w:hAnsi="Times New Roman"/>
                <w:lang w:val="uk-UA"/>
              </w:rPr>
            </w:pPr>
            <w:r w:rsidRPr="00224AE0">
              <w:rPr>
                <w:rFonts w:ascii="Times New Roman" w:hAnsi="Times New Roman"/>
                <w:lang w:val="uk-UA"/>
              </w:rPr>
              <w:t>відповіді на запитання -  2 хв.</w:t>
            </w:r>
          </w:p>
          <w:p w:rsidR="00377511" w:rsidRPr="00224AE0" w:rsidRDefault="00377511" w:rsidP="007A4A50">
            <w:pPr>
              <w:pStyle w:val="a3"/>
              <w:rPr>
                <w:rFonts w:ascii="Times New Roman" w:hAnsi="Times New Roman"/>
                <w:lang w:val="uk-UA"/>
              </w:rPr>
            </w:pPr>
            <w:r w:rsidRPr="00224AE0">
              <w:rPr>
                <w:rFonts w:ascii="Times New Roman" w:hAnsi="Times New Roman"/>
                <w:lang w:val="uk-UA"/>
              </w:rPr>
              <w:t>Проведення голосування по питанням порядку денного здійснюється з використанням бюлетенів. Принцип голосування: 1 акція – 1 голос, крім питання обрання членів наглядової ради, голосування по якому здійснюється шляхом кумулятивного голосування.</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4</w:t>
            </w:r>
            <w:r w:rsidRPr="00224AE0">
              <w:rPr>
                <w:rFonts w:ascii="Times New Roman" w:hAnsi="Times New Roman"/>
                <w:lang w:val="uk-UA"/>
              </w:rPr>
              <w:t xml:space="preserve"> Звіт правління Товариства за 2017 рік. Прийняття рішення за наслідками розгляду звіту.</w:t>
            </w:r>
          </w:p>
        </w:tc>
        <w:tc>
          <w:tcPr>
            <w:tcW w:w="5210"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4</w:t>
            </w:r>
            <w:r w:rsidRPr="00224AE0">
              <w:rPr>
                <w:rFonts w:ascii="Times New Roman" w:hAnsi="Times New Roman"/>
                <w:lang w:val="uk-UA"/>
              </w:rPr>
              <w:t xml:space="preserve"> Затвердити звіт правління Товариства за 2017 рік.</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5</w:t>
            </w:r>
            <w:r w:rsidRPr="00224AE0">
              <w:rPr>
                <w:rFonts w:ascii="Times New Roman" w:hAnsi="Times New Roman"/>
                <w:lang w:val="uk-UA"/>
              </w:rPr>
              <w:t xml:space="preserve"> Звіт ревізійної комісії Товариства за 2017 рік. Прийняття рішення за наслідками розгляду звіту та висновку ревізійної комісії.</w:t>
            </w:r>
          </w:p>
        </w:tc>
        <w:tc>
          <w:tcPr>
            <w:tcW w:w="5210"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5</w:t>
            </w:r>
            <w:r w:rsidRPr="00224AE0">
              <w:rPr>
                <w:rFonts w:ascii="Times New Roman" w:hAnsi="Times New Roman"/>
                <w:lang w:val="uk-UA"/>
              </w:rPr>
              <w:t xml:space="preserve"> Затвердити звіт та висновок ревізійної комісії Товариства за 2017 рік.</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6 </w:t>
            </w:r>
            <w:r w:rsidRPr="00224AE0">
              <w:rPr>
                <w:rFonts w:ascii="Times New Roman" w:hAnsi="Times New Roman"/>
                <w:lang w:val="uk-UA"/>
              </w:rPr>
              <w:t>Висновок зовнішнього аудиту.</w:t>
            </w:r>
          </w:p>
        </w:tc>
        <w:tc>
          <w:tcPr>
            <w:tcW w:w="5210"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6 </w:t>
            </w:r>
            <w:r w:rsidRPr="00224AE0">
              <w:rPr>
                <w:rFonts w:ascii="Times New Roman" w:hAnsi="Times New Roman"/>
                <w:lang w:val="uk-UA"/>
              </w:rPr>
              <w:t>Висновок зовнішнього аудиту за 2017 рік взяти до відома.</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7</w:t>
            </w:r>
            <w:r w:rsidRPr="00224AE0">
              <w:rPr>
                <w:rFonts w:ascii="Times New Roman" w:hAnsi="Times New Roman"/>
                <w:lang w:val="uk-UA"/>
              </w:rPr>
              <w:t xml:space="preserve"> Звіт наглядової ради Товариства за 2017 рік. Прийняття рішення за наслідками розгляду звіту та затвердження заходів за результатами його розгляду.</w:t>
            </w:r>
          </w:p>
        </w:tc>
        <w:tc>
          <w:tcPr>
            <w:tcW w:w="5210"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7 </w:t>
            </w:r>
            <w:r w:rsidRPr="00224AE0">
              <w:rPr>
                <w:rFonts w:ascii="Times New Roman" w:hAnsi="Times New Roman"/>
                <w:lang w:val="uk-UA"/>
              </w:rPr>
              <w:t>Затвердити звіт наглядової ради Товариства за 2017 рік та заходи за результатами його розгляду.</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8</w:t>
            </w:r>
            <w:r w:rsidRPr="00224AE0">
              <w:rPr>
                <w:rFonts w:ascii="Times New Roman" w:hAnsi="Times New Roman"/>
                <w:lang w:val="uk-UA"/>
              </w:rPr>
              <w:t xml:space="preserve"> Затвердження річного звіту (річної фінансової звітності) Товариства за 2017 рік.</w:t>
            </w:r>
          </w:p>
        </w:tc>
        <w:tc>
          <w:tcPr>
            <w:tcW w:w="5210"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8 </w:t>
            </w:r>
            <w:r w:rsidRPr="00224AE0">
              <w:rPr>
                <w:rFonts w:ascii="Times New Roman" w:hAnsi="Times New Roman"/>
                <w:lang w:val="uk-UA"/>
              </w:rPr>
              <w:t>Затвердити річний звіт (річну фінансову звітність) Товариства за 2017 рік.</w:t>
            </w:r>
          </w:p>
        </w:tc>
      </w:tr>
      <w:tr w:rsidR="00377511" w:rsidRPr="00224AE0" w:rsidTr="007A4A50">
        <w:tc>
          <w:tcPr>
            <w:tcW w:w="4645" w:type="dxa"/>
            <w:shd w:val="clear" w:color="auto" w:fill="auto"/>
          </w:tcPr>
          <w:p w:rsidR="00377511" w:rsidRPr="00224AE0" w:rsidRDefault="00377511" w:rsidP="007A4A50">
            <w:pPr>
              <w:pStyle w:val="a5"/>
              <w:tabs>
                <w:tab w:val="left" w:pos="540"/>
              </w:tabs>
              <w:ind w:left="0"/>
            </w:pPr>
            <w:r w:rsidRPr="00224AE0">
              <w:rPr>
                <w:rFonts w:ascii="Times New Roman" w:hAnsi="Times New Roman"/>
                <w:b/>
              </w:rPr>
              <w:t>9</w:t>
            </w:r>
            <w:r w:rsidRPr="00224AE0">
              <w:rPr>
                <w:rFonts w:ascii="Times New Roman" w:hAnsi="Times New Roman"/>
              </w:rPr>
              <w:t xml:space="preserve"> Розподіл прибутку отриманого Товариством. </w:t>
            </w:r>
          </w:p>
        </w:tc>
        <w:tc>
          <w:tcPr>
            <w:tcW w:w="5210" w:type="dxa"/>
            <w:shd w:val="clear" w:color="auto" w:fill="auto"/>
          </w:tcPr>
          <w:p w:rsidR="00377511" w:rsidRPr="00224AE0" w:rsidRDefault="00377511" w:rsidP="007A4A50">
            <w:pPr>
              <w:pStyle w:val="a5"/>
              <w:tabs>
                <w:tab w:val="left" w:pos="360"/>
              </w:tabs>
              <w:ind w:left="0"/>
              <w:jc w:val="both"/>
              <w:rPr>
                <w:rFonts w:ascii="Times New Roman" w:hAnsi="Times New Roman"/>
              </w:rPr>
            </w:pPr>
            <w:r w:rsidRPr="00224AE0">
              <w:rPr>
                <w:rFonts w:ascii="Times New Roman" w:hAnsi="Times New Roman"/>
                <w:b/>
              </w:rPr>
              <w:t>9</w:t>
            </w:r>
            <w:r w:rsidRPr="00224AE0">
              <w:rPr>
                <w:rFonts w:ascii="Times New Roman" w:hAnsi="Times New Roman"/>
              </w:rPr>
              <w:t xml:space="preserve"> Залишити прибуток на Товаристві за для покриття збитків минулих періодів. </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10</w:t>
            </w:r>
            <w:r w:rsidRPr="00224AE0">
              <w:rPr>
                <w:rFonts w:ascii="Times New Roman" w:hAnsi="Times New Roman"/>
                <w:lang w:val="uk-UA"/>
              </w:rPr>
              <w:t xml:space="preserve"> Про попереднє надання згоди на вчинення значних правочинів.</w:t>
            </w:r>
          </w:p>
          <w:p w:rsidR="00377511" w:rsidRPr="00224AE0" w:rsidRDefault="00377511" w:rsidP="007A4A50">
            <w:pPr>
              <w:pStyle w:val="a3"/>
              <w:rPr>
                <w:rFonts w:ascii="Times New Roman" w:hAnsi="Times New Roman"/>
                <w:lang w:val="uk-UA"/>
              </w:rPr>
            </w:pPr>
          </w:p>
        </w:tc>
        <w:tc>
          <w:tcPr>
            <w:tcW w:w="5210" w:type="dxa"/>
            <w:shd w:val="clear" w:color="auto" w:fill="auto"/>
          </w:tcPr>
          <w:p w:rsidR="00377511" w:rsidRPr="00224AE0" w:rsidRDefault="00377511" w:rsidP="007A4A50">
            <w:pPr>
              <w:pStyle w:val="a3"/>
              <w:jc w:val="both"/>
              <w:rPr>
                <w:rFonts w:ascii="Times New Roman" w:hAnsi="Times New Roman"/>
                <w:lang w:val="uk-UA"/>
              </w:rPr>
            </w:pPr>
            <w:r w:rsidRPr="00224AE0">
              <w:rPr>
                <w:rFonts w:ascii="Times New Roman" w:hAnsi="Times New Roman"/>
                <w:b/>
                <w:lang w:val="uk-UA"/>
              </w:rPr>
              <w:t>10</w:t>
            </w:r>
            <w:r w:rsidRPr="00224AE0">
              <w:rPr>
                <w:rFonts w:ascii="Times New Roman" w:hAnsi="Times New Roman"/>
                <w:lang w:val="uk-UA"/>
              </w:rPr>
              <w:t xml:space="preserve"> Попередньо надати згоду на  вчинення Товариством, за необхідності, у період з 27 квітня 2018 року до 27 квітня 2019 року, правочинів про продаж виробленої Товариством продукції та/або придбання Товариством товарів, матеріалів, обладнання, транспортних засобів, запасних частин, будівель, споруд, земельних ділянок, </w:t>
            </w:r>
            <w:r w:rsidRPr="00224AE0">
              <w:rPr>
                <w:rFonts w:ascii="Times New Roman" w:hAnsi="Times New Roman"/>
                <w:lang w:val="uk-UA"/>
              </w:rPr>
              <w:lastRenderedPageBreak/>
              <w:t xml:space="preserve">корпоративних прав, про позику та банківський кредит, якщо вартість кожного такого правочину становитиме від 25 до 100 відсотків від вартості активів Товариства за даними останньої річної фінансової звітності. Укладати їх відповідно процедурі, яка встановлена для правочинів, вартість яких знаходиться в межах від 10 до 25 відсотків від вартості активів товариства за даними останньої річної фінансової звітності. </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lastRenderedPageBreak/>
              <w:t>11</w:t>
            </w:r>
            <w:r w:rsidRPr="00224AE0">
              <w:rPr>
                <w:rFonts w:ascii="Times New Roman" w:hAnsi="Times New Roman"/>
                <w:lang w:val="uk-UA"/>
              </w:rPr>
              <w:t xml:space="preserve"> Про надання згоди на вчинення Товариством значних правочинів щодо виступу поручителем та укладання: договорів поруки за зобов’язаннями ТОВ «Юнігран»  </w:t>
            </w:r>
          </w:p>
          <w:p w:rsidR="00377511" w:rsidRPr="00224AE0" w:rsidRDefault="00377511" w:rsidP="007A4A50">
            <w:pPr>
              <w:pStyle w:val="a3"/>
              <w:rPr>
                <w:rFonts w:ascii="Times New Roman" w:hAnsi="Times New Roman"/>
                <w:b/>
                <w:lang w:val="uk-UA"/>
              </w:rPr>
            </w:pPr>
          </w:p>
        </w:tc>
        <w:tc>
          <w:tcPr>
            <w:tcW w:w="5210" w:type="dxa"/>
            <w:shd w:val="clear" w:color="auto" w:fill="auto"/>
          </w:tcPr>
          <w:p w:rsidR="00377511" w:rsidRPr="00224AE0" w:rsidRDefault="00377511" w:rsidP="007A4A50">
            <w:pPr>
              <w:pStyle w:val="a3"/>
              <w:spacing w:line="0" w:lineRule="atLeast"/>
              <w:jc w:val="both"/>
              <w:rPr>
                <w:rFonts w:ascii="Times New Roman" w:hAnsi="Times New Roman"/>
                <w:lang w:val="uk-UA" w:eastAsia="uk-UA"/>
              </w:rPr>
            </w:pPr>
            <w:r w:rsidRPr="00224AE0">
              <w:rPr>
                <w:rFonts w:ascii="Times New Roman" w:hAnsi="Times New Roman"/>
                <w:b/>
                <w:lang w:val="uk-UA"/>
              </w:rPr>
              <w:t>11</w:t>
            </w:r>
            <w:r w:rsidRPr="00224AE0">
              <w:rPr>
                <w:rFonts w:ascii="Times New Roman" w:hAnsi="Times New Roman"/>
                <w:lang w:val="uk-UA"/>
              </w:rPr>
              <w:t xml:space="preserve"> Надання згоди на вчинення Товариством значних правочинів щодо  виступу поручителем та укладання договорів поруки за наступними зобов’язаннями ТОВ «Юнігран»: </w:t>
            </w:r>
          </w:p>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iCs/>
                <w:lang w:val="uk-UA"/>
              </w:rPr>
              <w:t xml:space="preserve">- за Кредитним договором № 010/150-2/505 від 21.07.2017р. до Генерального договору на здійснення кредитних операцій №01/150-2/504 від 21.07.2017р. в сумі </w:t>
            </w:r>
            <w:r w:rsidRPr="00224AE0">
              <w:rPr>
                <w:rFonts w:ascii="Times New Roman" w:hAnsi="Times New Roman"/>
                <w:b/>
                <w:iCs/>
                <w:lang w:val="uk-UA"/>
              </w:rPr>
              <w:t>45 356 972,06</w:t>
            </w:r>
            <w:r w:rsidRPr="00224AE0">
              <w:rPr>
                <w:rFonts w:ascii="Times New Roman" w:hAnsi="Times New Roman"/>
                <w:iCs/>
                <w:lang w:val="uk-UA"/>
              </w:rPr>
              <w:t xml:space="preserve"> (Сорок три мільйони триста п’ятдесят шість тисяч дев’ятсот сімдесят дві гривні 06 копійок) гривень строком дії  до 20 липня 2022 року зі сплатою 15% річних;</w:t>
            </w:r>
          </w:p>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iCs/>
                <w:lang w:val="uk-UA"/>
              </w:rPr>
              <w:t xml:space="preserve">- за Кредитним договором № 010/150-2/709 від 20.12.2017р. до Генерального договору на здійснення кредитних операцій №01/150-2/504 від 21.07.2017р. в сумі </w:t>
            </w:r>
            <w:r w:rsidRPr="00224AE0">
              <w:rPr>
                <w:rFonts w:ascii="Times New Roman" w:hAnsi="Times New Roman"/>
                <w:b/>
                <w:iCs/>
                <w:lang w:val="uk-UA"/>
              </w:rPr>
              <w:t>27 374 827,07</w:t>
            </w:r>
            <w:r w:rsidRPr="00224AE0">
              <w:rPr>
                <w:rFonts w:ascii="Times New Roman" w:hAnsi="Times New Roman"/>
                <w:iCs/>
                <w:lang w:val="uk-UA"/>
              </w:rPr>
              <w:t xml:space="preserve"> (Двадцять сім мільйонів триста сімдесят чотири тисячі вісімсот двадцять сім гривень  07 копійок) гривень строком дії до 20 липня 2022 року зі сплатою 15% річних;</w:t>
            </w:r>
          </w:p>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iCs/>
                <w:lang w:val="uk-UA"/>
              </w:rPr>
              <w:t xml:space="preserve">- за Кредитним договором № 010/150-2/506 від 21.07.2017р. до Генерального договору на здійснення кредитних операцій №01/150-2/504 від 21.07.2017р. в сумі не більше </w:t>
            </w:r>
            <w:r w:rsidRPr="00224AE0">
              <w:rPr>
                <w:rFonts w:ascii="Times New Roman" w:hAnsi="Times New Roman"/>
                <w:b/>
                <w:iCs/>
                <w:lang w:val="uk-UA"/>
              </w:rPr>
              <w:t>80 000 000,00</w:t>
            </w:r>
            <w:r w:rsidRPr="00224AE0">
              <w:rPr>
                <w:rFonts w:ascii="Times New Roman" w:hAnsi="Times New Roman"/>
                <w:iCs/>
                <w:lang w:val="uk-UA"/>
              </w:rPr>
              <w:t xml:space="preserve"> (Вісімдесят мільйонів гривень) гривень строком дії  до 20 липня 2022 року зі сплатою не більше 17%річних;</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 xml:space="preserve">12 </w:t>
            </w:r>
            <w:r w:rsidRPr="00224AE0">
              <w:rPr>
                <w:rFonts w:ascii="Times New Roman" w:hAnsi="Times New Roman"/>
                <w:lang w:val="uk-UA"/>
              </w:rPr>
              <w:t>Про надання згоди на вчинення Товариством договорів поруки, щодо яких є заінтересованість.</w:t>
            </w:r>
          </w:p>
          <w:p w:rsidR="00377511" w:rsidRPr="00224AE0" w:rsidRDefault="00377511" w:rsidP="007A4A50">
            <w:pPr>
              <w:pStyle w:val="a3"/>
              <w:rPr>
                <w:rFonts w:ascii="Times New Roman" w:hAnsi="Times New Roman"/>
                <w:b/>
                <w:lang w:val="uk-UA"/>
              </w:rPr>
            </w:pPr>
          </w:p>
        </w:tc>
        <w:tc>
          <w:tcPr>
            <w:tcW w:w="5210" w:type="dxa"/>
            <w:shd w:val="clear" w:color="auto" w:fill="auto"/>
          </w:tcPr>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b/>
                <w:lang w:val="uk-UA"/>
              </w:rPr>
              <w:t>12</w:t>
            </w:r>
            <w:r w:rsidRPr="00224AE0">
              <w:rPr>
                <w:rFonts w:ascii="Times New Roman" w:hAnsi="Times New Roman"/>
                <w:lang w:val="uk-UA"/>
              </w:rPr>
              <w:t xml:space="preserve"> Надати згоду на  вчинення Товариством з АТ «Райффайзен Банк Аваль»  правочинів, щодо яких є заінтересованість, </w:t>
            </w:r>
            <w:r w:rsidRPr="00224AE0">
              <w:rPr>
                <w:rFonts w:ascii="Times New Roman" w:hAnsi="Times New Roman"/>
                <w:iCs/>
                <w:lang w:val="uk-UA"/>
              </w:rPr>
              <w:t>а саме договорів поруки щодо забезпечення наступних зобов’язань ТОВ «Юнігран»:</w:t>
            </w:r>
          </w:p>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iCs/>
                <w:lang w:val="uk-UA"/>
              </w:rPr>
              <w:t xml:space="preserve">- за Кредитним договором № 010/150-2/505 від 21.07.2017р. до Генерального договору на здійснення кредитних операцій №01/150-2/504 від 21.07.2017р. в сумі </w:t>
            </w:r>
            <w:r w:rsidRPr="00224AE0">
              <w:rPr>
                <w:rFonts w:ascii="Times New Roman" w:hAnsi="Times New Roman"/>
                <w:b/>
                <w:iCs/>
                <w:lang w:val="uk-UA"/>
              </w:rPr>
              <w:t>45 356 972,06</w:t>
            </w:r>
            <w:r w:rsidRPr="00224AE0">
              <w:rPr>
                <w:rFonts w:ascii="Times New Roman" w:hAnsi="Times New Roman"/>
                <w:iCs/>
                <w:lang w:val="uk-UA"/>
              </w:rPr>
              <w:t xml:space="preserve"> (Сорок три мільйони триста п’ятдесят шість тисяч дев’ятсот сімдесят дві гривні 06 копійок) гривень строком дії  до 20 липня 2022 року зі сплатою 15% річних;</w:t>
            </w:r>
          </w:p>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iCs/>
                <w:lang w:val="uk-UA"/>
              </w:rPr>
              <w:t xml:space="preserve">- за Кредитним договором № 010/150-2/709 від 20.12.2017р. до Генерального договору на здійснення кредитних операцій №01/150-2/504 від 21.07.2017р. в сумі </w:t>
            </w:r>
            <w:r w:rsidRPr="00224AE0">
              <w:rPr>
                <w:rFonts w:ascii="Times New Roman" w:hAnsi="Times New Roman"/>
                <w:b/>
                <w:iCs/>
                <w:lang w:val="uk-UA"/>
              </w:rPr>
              <w:t>27 374 827,07</w:t>
            </w:r>
            <w:r w:rsidRPr="00224AE0">
              <w:rPr>
                <w:rFonts w:ascii="Times New Roman" w:hAnsi="Times New Roman"/>
                <w:iCs/>
                <w:lang w:val="uk-UA"/>
              </w:rPr>
              <w:t xml:space="preserve"> (Двадцять сім мільйонів триста сімдесят чотири тисячі вісімсот двадцять сім гривень  07 копійок) гривень строком дії до 20 липня 2022 року зі сплатою 15% річних;</w:t>
            </w:r>
          </w:p>
          <w:p w:rsidR="00377511" w:rsidRPr="00224AE0" w:rsidRDefault="00377511" w:rsidP="007A4A50">
            <w:pPr>
              <w:pStyle w:val="a3"/>
              <w:spacing w:line="0" w:lineRule="atLeast"/>
              <w:jc w:val="both"/>
              <w:rPr>
                <w:rFonts w:ascii="Times New Roman" w:hAnsi="Times New Roman"/>
                <w:iCs/>
                <w:lang w:val="uk-UA"/>
              </w:rPr>
            </w:pPr>
            <w:r w:rsidRPr="00224AE0">
              <w:rPr>
                <w:rFonts w:ascii="Times New Roman" w:hAnsi="Times New Roman"/>
                <w:iCs/>
                <w:lang w:val="uk-UA"/>
              </w:rPr>
              <w:t xml:space="preserve">- за Кредитним договором № 010/150-2/506 від 21.07.2017р. до Генерального договору на здійснення кредитних операцій №01/150-2/504 від 21.07.2017р. в сумі не більше </w:t>
            </w:r>
            <w:r w:rsidRPr="00224AE0">
              <w:rPr>
                <w:rFonts w:ascii="Times New Roman" w:hAnsi="Times New Roman"/>
                <w:b/>
                <w:iCs/>
                <w:lang w:val="uk-UA"/>
              </w:rPr>
              <w:t>80 000 000,00</w:t>
            </w:r>
            <w:r w:rsidRPr="00224AE0">
              <w:rPr>
                <w:rFonts w:ascii="Times New Roman" w:hAnsi="Times New Roman"/>
                <w:iCs/>
                <w:lang w:val="uk-UA"/>
              </w:rPr>
              <w:t xml:space="preserve"> (Вісімдесят мільйонів гривень) гривень строком дії  </w:t>
            </w:r>
            <w:r w:rsidRPr="00224AE0">
              <w:rPr>
                <w:rFonts w:ascii="Times New Roman" w:hAnsi="Times New Roman"/>
                <w:iCs/>
                <w:lang w:val="uk-UA"/>
              </w:rPr>
              <w:lastRenderedPageBreak/>
              <w:t>до 20 липня 2022 року зі сплатою не більше 17%річних;</w:t>
            </w:r>
          </w:p>
          <w:p w:rsidR="00377511" w:rsidRPr="00224AE0" w:rsidRDefault="00377511" w:rsidP="007A4A50">
            <w:pPr>
              <w:pStyle w:val="a3"/>
              <w:jc w:val="both"/>
              <w:rPr>
                <w:rFonts w:ascii="Times New Roman" w:hAnsi="Times New Roman"/>
                <w:iCs/>
                <w:lang w:val="uk-UA"/>
              </w:rPr>
            </w:pPr>
            <w:r w:rsidRPr="00224AE0">
              <w:rPr>
                <w:rFonts w:ascii="Times New Roman" w:hAnsi="Times New Roman"/>
                <w:iCs/>
                <w:lang w:val="uk-UA"/>
              </w:rPr>
              <w:t xml:space="preserve">Особами заінтересованими у вчиненні Товариством зазначених  договорів поруки  на підставі п.2. </w:t>
            </w:r>
            <w:proofErr w:type="spellStart"/>
            <w:r w:rsidRPr="00224AE0">
              <w:rPr>
                <w:rFonts w:ascii="Times New Roman" w:hAnsi="Times New Roman"/>
                <w:iCs/>
                <w:lang w:val="uk-UA"/>
              </w:rPr>
              <w:t>ст</w:t>
            </w:r>
            <w:proofErr w:type="spellEnd"/>
            <w:r w:rsidRPr="00224AE0">
              <w:rPr>
                <w:rFonts w:ascii="Times New Roman" w:hAnsi="Times New Roman"/>
                <w:iCs/>
                <w:lang w:val="uk-UA"/>
              </w:rPr>
              <w:t xml:space="preserve"> 71 Закону України «Про акціонерні товариства» є ТОВ «Юнігран» (акціонер Товариства), Диняк С.В. (член наглядової ради, генеральний директор ТОВ «Юнігран»).  </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lastRenderedPageBreak/>
              <w:t>13</w:t>
            </w:r>
            <w:r w:rsidRPr="00224AE0">
              <w:rPr>
                <w:rFonts w:ascii="Times New Roman" w:hAnsi="Times New Roman"/>
                <w:lang w:val="uk-UA"/>
              </w:rPr>
              <w:t xml:space="preserve"> Про затвердження проектів договорів поруки, що будуть укладатися  між Товариством  та  АТ «Райффайзен Банк Аваль»</w:t>
            </w: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13</w:t>
            </w:r>
            <w:r w:rsidRPr="00224AE0">
              <w:rPr>
                <w:rFonts w:ascii="Times New Roman" w:hAnsi="Times New Roman"/>
                <w:lang w:val="uk-UA"/>
              </w:rPr>
              <w:t xml:space="preserve"> Затвердити проекти договорів поруки, які будуть укладатися між Товариством та АТ «Райффайзен Банк Аваль» (проекти договорів додаються).</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 xml:space="preserve">14 </w:t>
            </w:r>
            <w:r w:rsidRPr="00224AE0">
              <w:rPr>
                <w:rFonts w:ascii="Times New Roman" w:hAnsi="Times New Roman"/>
                <w:lang w:val="uk-UA"/>
              </w:rPr>
              <w:t xml:space="preserve">Про надання повноважень на підписання (укладання) договорів  поруки що будуть укладатися між Товариством та АТ «Райффайзен Банк Аваль» </w:t>
            </w:r>
          </w:p>
        </w:tc>
        <w:tc>
          <w:tcPr>
            <w:tcW w:w="5210" w:type="dxa"/>
            <w:shd w:val="clear" w:color="auto" w:fill="auto"/>
          </w:tcPr>
          <w:p w:rsidR="00377511" w:rsidRPr="00224AE0" w:rsidRDefault="00377511" w:rsidP="007A4A50">
            <w:pPr>
              <w:pStyle w:val="a3"/>
              <w:jc w:val="both"/>
              <w:rPr>
                <w:rFonts w:ascii="Times New Roman" w:hAnsi="Times New Roman"/>
                <w:lang w:val="uk-UA"/>
              </w:rPr>
            </w:pPr>
            <w:r w:rsidRPr="00224AE0">
              <w:rPr>
                <w:rFonts w:ascii="Times New Roman" w:hAnsi="Times New Roman"/>
                <w:b/>
                <w:lang w:val="uk-UA"/>
              </w:rPr>
              <w:t>14</w:t>
            </w:r>
            <w:r w:rsidRPr="00224AE0">
              <w:rPr>
                <w:rFonts w:ascii="Times New Roman" w:hAnsi="Times New Roman"/>
                <w:lang w:val="uk-UA"/>
              </w:rPr>
              <w:t xml:space="preserve"> Надати повноваження Голові Правління Ярмолюку О.М. на укладення (підписання) від імені Товариства зазначених у</w:t>
            </w:r>
            <w:r w:rsidRPr="00224AE0">
              <w:rPr>
                <w:rFonts w:ascii="Times New Roman" w:hAnsi="Times New Roman"/>
                <w:lang w:val="uk-UA" w:eastAsia="uk-UA"/>
              </w:rPr>
              <w:t xml:space="preserve"> Порядку денному  договорів поруки з усіма змінами та доповненнями до них, а також надати право підписати всі необхідні документи пов’язані з укладенням цих договорів поруки.</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15 </w:t>
            </w:r>
            <w:r w:rsidRPr="00224AE0">
              <w:rPr>
                <w:rFonts w:ascii="Times New Roman" w:hAnsi="Times New Roman"/>
                <w:lang w:val="uk-UA"/>
              </w:rPr>
              <w:t>Про зміну типу Товариства.</w:t>
            </w: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 xml:space="preserve">15 </w:t>
            </w:r>
            <w:r w:rsidRPr="00224AE0">
              <w:rPr>
                <w:rFonts w:ascii="Times New Roman" w:hAnsi="Times New Roman"/>
                <w:lang w:val="uk-UA"/>
              </w:rPr>
              <w:t>Змінити тип Товариства з публічного на приватне.</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16 </w:t>
            </w:r>
            <w:r w:rsidRPr="00224AE0">
              <w:rPr>
                <w:rFonts w:ascii="Times New Roman" w:hAnsi="Times New Roman"/>
                <w:lang w:val="uk-UA"/>
              </w:rPr>
              <w:t>Про зміну найменування товариства.</w:t>
            </w: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 xml:space="preserve">16 </w:t>
            </w:r>
            <w:r w:rsidRPr="00224AE0">
              <w:rPr>
                <w:rFonts w:ascii="Times New Roman" w:hAnsi="Times New Roman"/>
                <w:lang w:val="uk-UA"/>
              </w:rPr>
              <w:t>Змінити повне найменування товариства на Акціонерне товариство «Коростенський кар’єр», скорочене найменування АТ «Коростенський кар’єр».</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17 </w:t>
            </w:r>
            <w:r w:rsidRPr="00224AE0">
              <w:rPr>
                <w:rFonts w:ascii="Times New Roman" w:hAnsi="Times New Roman"/>
                <w:lang w:val="uk-UA"/>
              </w:rPr>
              <w:t>Про внесення змін до Статуту Товариства шляхом викладення його у новій редакції</w:t>
            </w: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 xml:space="preserve">17 </w:t>
            </w:r>
            <w:r w:rsidRPr="00224AE0">
              <w:rPr>
                <w:rFonts w:ascii="Times New Roman" w:hAnsi="Times New Roman"/>
                <w:lang w:val="uk-UA"/>
              </w:rPr>
              <w:t xml:space="preserve">У зв’язку зі зміною типу, найменування Товариства та приведенням у відповідність до норм Закону України «Про акціонерні товариства» </w:t>
            </w:r>
            <w:proofErr w:type="spellStart"/>
            <w:r w:rsidRPr="00224AE0">
              <w:rPr>
                <w:rFonts w:ascii="Times New Roman" w:hAnsi="Times New Roman"/>
                <w:lang w:val="uk-UA"/>
              </w:rPr>
              <w:t>внести</w:t>
            </w:r>
            <w:proofErr w:type="spellEnd"/>
            <w:r w:rsidRPr="00224AE0">
              <w:rPr>
                <w:rFonts w:ascii="Times New Roman" w:hAnsi="Times New Roman"/>
                <w:lang w:val="uk-UA"/>
              </w:rPr>
              <w:t xml:space="preserve"> зміни до Статуту Товариства та затвердити його нову редакцію. Уповноважити голову та секретаря річних загальних зборів підписати Статут в новій редакції та забезпечити проведення його державної реєстрації.</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18</w:t>
            </w:r>
            <w:r w:rsidRPr="00224AE0">
              <w:rPr>
                <w:rFonts w:ascii="Times New Roman" w:hAnsi="Times New Roman"/>
                <w:lang w:val="uk-UA"/>
              </w:rPr>
              <w:t xml:space="preserve"> Про внесення змін до Положення про Наглядову раду Товариства</w:t>
            </w: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 xml:space="preserve">18 </w:t>
            </w:r>
            <w:proofErr w:type="spellStart"/>
            <w:r w:rsidRPr="00224AE0">
              <w:rPr>
                <w:rFonts w:ascii="Times New Roman" w:hAnsi="Times New Roman"/>
                <w:lang w:val="uk-UA"/>
              </w:rPr>
              <w:t>Внести</w:t>
            </w:r>
            <w:proofErr w:type="spellEnd"/>
            <w:r w:rsidRPr="00224AE0">
              <w:rPr>
                <w:rFonts w:ascii="Times New Roman" w:hAnsi="Times New Roman"/>
                <w:lang w:val="uk-UA"/>
              </w:rPr>
              <w:t xml:space="preserve"> зміни до Положення про Наглядову раду Товариства</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19</w:t>
            </w:r>
            <w:r w:rsidRPr="00224AE0">
              <w:rPr>
                <w:rFonts w:ascii="Times New Roman" w:hAnsi="Times New Roman"/>
                <w:lang w:val="uk-UA"/>
              </w:rPr>
              <w:t xml:space="preserve"> Прийняття рішення про припинення повноважень членів Наглядової ради Товариства. </w:t>
            </w:r>
          </w:p>
        </w:tc>
        <w:tc>
          <w:tcPr>
            <w:tcW w:w="5210"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19 </w:t>
            </w:r>
            <w:r w:rsidRPr="00224AE0">
              <w:rPr>
                <w:rFonts w:ascii="Times New Roman" w:hAnsi="Times New Roman"/>
                <w:lang w:val="uk-UA"/>
              </w:rPr>
              <w:t>Припинити повноваження членів Наглядової ради.</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20 </w:t>
            </w:r>
            <w:r w:rsidRPr="00224AE0">
              <w:rPr>
                <w:rFonts w:ascii="Times New Roman" w:hAnsi="Times New Roman"/>
                <w:lang w:val="uk-UA"/>
              </w:rPr>
              <w:t>Про визначення кількісного складу Наглядової ради</w:t>
            </w:r>
          </w:p>
        </w:tc>
        <w:tc>
          <w:tcPr>
            <w:tcW w:w="5210"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20 </w:t>
            </w:r>
            <w:r w:rsidRPr="00224AE0">
              <w:rPr>
                <w:rFonts w:ascii="Times New Roman" w:hAnsi="Times New Roman"/>
                <w:lang w:val="uk-UA"/>
              </w:rPr>
              <w:t>Визначити, що кількісний склад Наглядової ради становить 3 особи</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lang w:val="uk-UA"/>
              </w:rPr>
            </w:pPr>
            <w:r w:rsidRPr="00224AE0">
              <w:rPr>
                <w:rFonts w:ascii="Times New Roman" w:hAnsi="Times New Roman"/>
                <w:b/>
                <w:lang w:val="uk-UA"/>
              </w:rPr>
              <w:t>21</w:t>
            </w:r>
            <w:r w:rsidRPr="00224AE0">
              <w:rPr>
                <w:rFonts w:ascii="Times New Roman" w:hAnsi="Times New Roman"/>
                <w:lang w:val="uk-UA"/>
              </w:rPr>
              <w:t xml:space="preserve"> Обрання членів Наглядової ради Товариства. </w:t>
            </w:r>
          </w:p>
          <w:p w:rsidR="00377511" w:rsidRPr="00224AE0" w:rsidRDefault="00377511" w:rsidP="007A4A50">
            <w:pPr>
              <w:pStyle w:val="a3"/>
              <w:rPr>
                <w:rFonts w:ascii="Times New Roman" w:hAnsi="Times New Roman"/>
                <w:lang w:val="uk-UA"/>
              </w:rPr>
            </w:pP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 xml:space="preserve">21 </w:t>
            </w:r>
            <w:r w:rsidRPr="00224AE0">
              <w:rPr>
                <w:rFonts w:ascii="Times New Roman" w:hAnsi="Times New Roman"/>
                <w:lang w:val="uk-UA"/>
              </w:rPr>
              <w:t xml:space="preserve">Згідно з </w:t>
            </w:r>
            <w:proofErr w:type="spellStart"/>
            <w:r w:rsidRPr="00224AE0">
              <w:rPr>
                <w:rFonts w:ascii="Times New Roman" w:hAnsi="Times New Roman"/>
                <w:lang w:val="uk-UA"/>
              </w:rPr>
              <w:t>п.п</w:t>
            </w:r>
            <w:proofErr w:type="spellEnd"/>
            <w:r w:rsidRPr="00224AE0">
              <w:rPr>
                <w:rFonts w:ascii="Times New Roman" w:hAnsi="Times New Roman"/>
                <w:lang w:val="uk-UA"/>
              </w:rPr>
              <w:t>. 5) ст. 35 Закону України «Про акціонерні товариства» проект рішення щодо цього питання порядку денного акціонерам не направляється.</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22 </w:t>
            </w:r>
            <w:r w:rsidRPr="00224AE0">
              <w:rPr>
                <w:rFonts w:ascii="Times New Roman" w:hAnsi="Times New Roman"/>
                <w:lang w:val="uk-UA"/>
              </w:rPr>
              <w:t>Прийняття рішення про припинення повноважень членів Ревізійної комісії Товариства.</w:t>
            </w:r>
          </w:p>
        </w:tc>
        <w:tc>
          <w:tcPr>
            <w:tcW w:w="5210"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22</w:t>
            </w:r>
            <w:r w:rsidRPr="00224AE0">
              <w:rPr>
                <w:rFonts w:ascii="Times New Roman" w:hAnsi="Times New Roman"/>
                <w:lang w:val="uk-UA"/>
              </w:rPr>
              <w:t xml:space="preserve"> Прийняття рішення про припинення повноважень членів Ревізійної комісії Товариства.</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23 </w:t>
            </w:r>
            <w:r w:rsidRPr="00224AE0">
              <w:rPr>
                <w:rFonts w:ascii="Times New Roman" w:hAnsi="Times New Roman"/>
                <w:lang w:val="uk-UA"/>
              </w:rPr>
              <w:t xml:space="preserve">Про втрату чинності Положення про Ревізійну комісію Товариства </w:t>
            </w:r>
          </w:p>
        </w:tc>
        <w:tc>
          <w:tcPr>
            <w:tcW w:w="5210" w:type="dxa"/>
            <w:shd w:val="clear" w:color="auto" w:fill="auto"/>
          </w:tcPr>
          <w:p w:rsidR="00377511" w:rsidRPr="00224AE0" w:rsidRDefault="00377511" w:rsidP="007A4A50">
            <w:pPr>
              <w:pStyle w:val="a3"/>
              <w:jc w:val="both"/>
              <w:rPr>
                <w:rFonts w:ascii="Times New Roman" w:hAnsi="Times New Roman"/>
                <w:b/>
                <w:lang w:val="uk-UA"/>
              </w:rPr>
            </w:pPr>
            <w:r w:rsidRPr="00224AE0">
              <w:rPr>
                <w:rFonts w:ascii="Times New Roman" w:hAnsi="Times New Roman"/>
                <w:b/>
                <w:lang w:val="uk-UA"/>
              </w:rPr>
              <w:t>23</w:t>
            </w:r>
            <w:r w:rsidRPr="00224AE0">
              <w:rPr>
                <w:rFonts w:ascii="Times New Roman" w:hAnsi="Times New Roman"/>
                <w:lang w:val="uk-UA"/>
              </w:rPr>
              <w:t xml:space="preserve"> Положення про Ревізійну комісію Товариства, затверджене загальними зборами акціонерів 27.04.2012 року, визнати таким що втратило чинність.</w:t>
            </w:r>
          </w:p>
        </w:tc>
      </w:tr>
      <w:tr w:rsidR="00377511" w:rsidRPr="00224AE0" w:rsidTr="007A4A50">
        <w:tc>
          <w:tcPr>
            <w:tcW w:w="4645" w:type="dxa"/>
            <w:shd w:val="clear" w:color="auto" w:fill="auto"/>
          </w:tcPr>
          <w:p w:rsidR="00377511" w:rsidRPr="00224AE0" w:rsidRDefault="00377511" w:rsidP="007A4A50">
            <w:pPr>
              <w:pStyle w:val="a3"/>
              <w:rPr>
                <w:rFonts w:ascii="Times New Roman" w:hAnsi="Times New Roman"/>
                <w:b/>
                <w:lang w:val="uk-UA"/>
              </w:rPr>
            </w:pPr>
            <w:r w:rsidRPr="00224AE0">
              <w:rPr>
                <w:rFonts w:ascii="Times New Roman" w:hAnsi="Times New Roman"/>
                <w:b/>
                <w:lang w:val="uk-UA"/>
              </w:rPr>
              <w:t xml:space="preserve">24 </w:t>
            </w:r>
            <w:r w:rsidRPr="00224AE0">
              <w:rPr>
                <w:rFonts w:ascii="Times New Roman" w:hAnsi="Times New Roman"/>
                <w:lang w:val="uk-UA"/>
              </w:rPr>
              <w:t>Про втрату чинності Положення про Правління Товариства</w:t>
            </w:r>
          </w:p>
        </w:tc>
        <w:tc>
          <w:tcPr>
            <w:tcW w:w="5210" w:type="dxa"/>
            <w:shd w:val="clear" w:color="auto" w:fill="auto"/>
          </w:tcPr>
          <w:p w:rsidR="00377511" w:rsidRPr="00224AE0" w:rsidRDefault="00377511" w:rsidP="007A4A50">
            <w:pPr>
              <w:pStyle w:val="a3"/>
              <w:jc w:val="both"/>
              <w:rPr>
                <w:rFonts w:ascii="Times New Roman" w:hAnsi="Times New Roman"/>
                <w:lang w:val="uk-UA"/>
              </w:rPr>
            </w:pPr>
            <w:r w:rsidRPr="00224AE0">
              <w:rPr>
                <w:rFonts w:ascii="Times New Roman" w:hAnsi="Times New Roman"/>
                <w:b/>
                <w:lang w:val="uk-UA"/>
              </w:rPr>
              <w:t xml:space="preserve">24 </w:t>
            </w:r>
            <w:r w:rsidRPr="00224AE0">
              <w:rPr>
                <w:rFonts w:ascii="Times New Roman" w:hAnsi="Times New Roman"/>
                <w:lang w:val="uk-UA"/>
              </w:rPr>
              <w:t>Положення про Правління Товариства, затверджене загальними зборами акціонерів 27.04.2012 року, визнати таким що втратило чинність. Рішення набирає чинності з моменту припинення Наглядовою радою повноважень Правління Товариства та обрання директора Товариства.</w:t>
            </w:r>
          </w:p>
        </w:tc>
      </w:tr>
    </w:tbl>
    <w:p w:rsidR="00377511" w:rsidRPr="00224AE0" w:rsidRDefault="00377511" w:rsidP="00377511">
      <w:pPr>
        <w:pStyle w:val="a3"/>
        <w:jc w:val="center"/>
        <w:rPr>
          <w:rFonts w:ascii="Times New Roman" w:hAnsi="Times New Roman"/>
          <w:b/>
          <w:snapToGrid w:val="0"/>
          <w:lang w:val="uk-UA"/>
        </w:rPr>
      </w:pPr>
    </w:p>
    <w:p w:rsidR="00377511" w:rsidRPr="00224AE0" w:rsidRDefault="00377511" w:rsidP="00377511">
      <w:pPr>
        <w:pStyle w:val="a3"/>
        <w:ind w:firstLine="567"/>
        <w:jc w:val="both"/>
        <w:rPr>
          <w:rFonts w:ascii="Times New Roman" w:hAnsi="Times New Roman"/>
          <w:lang w:val="uk-UA"/>
        </w:rPr>
      </w:pPr>
      <w:r w:rsidRPr="00224AE0">
        <w:rPr>
          <w:rFonts w:ascii="Times New Roman" w:hAnsi="Times New Roman"/>
          <w:lang w:val="uk-UA"/>
        </w:rPr>
        <w:lastRenderedPageBreak/>
        <w:t xml:space="preserve">Акціонери (їх представники) можуть ознайомитись з документами, необхідними для прийняття рішень з питань проекту порядку денного загальних зборів у робочі дні та робочі години, за адресою: Житомирська обл., Коростенський р-н, м. Коростень, вул. В. Сосновського, 67, кабінет голови правління, а в день проведення зборів – у місці їх проведення. Посадова особа, відповідальна за порядок ознайомлення акціонерів з документами - Голова правління Олександр Миколайович Ярмолюк. Довідки за телефоном: (04142) 3-21-18. Адреса веб-сайту на якому розміщена інформація з проектом рішень щодо кожного з питань, включеного до проекту порядку денного, а також інформацію, зазначену в частині четвертій статті 35 Законом України «Про акціонерні товариства»: </w:t>
      </w:r>
      <w:hyperlink r:id="rId4" w:history="1">
        <w:r w:rsidRPr="00224AE0">
          <w:rPr>
            <w:rStyle w:val="a4"/>
            <w:rFonts w:ascii="Times New Roman" w:hAnsi="Times New Roman"/>
            <w:lang w:val="uk-UA"/>
          </w:rPr>
          <w:t>www.un</w:t>
        </w:r>
        <w:r w:rsidRPr="00224AE0">
          <w:rPr>
            <w:rStyle w:val="a4"/>
            <w:rFonts w:ascii="Times New Roman" w:hAnsi="Times New Roman"/>
            <w:lang w:val="uk-UA"/>
          </w:rPr>
          <w:t>i</w:t>
        </w:r>
        <w:r w:rsidRPr="00224AE0">
          <w:rPr>
            <w:rStyle w:val="a4"/>
            <w:rFonts w:ascii="Times New Roman" w:hAnsi="Times New Roman"/>
            <w:lang w:val="uk-UA"/>
          </w:rPr>
          <w:t>gran.ua</w:t>
        </w:r>
      </w:hyperlink>
      <w:r w:rsidRPr="00224AE0">
        <w:rPr>
          <w:rFonts w:ascii="Times New Roman" w:hAnsi="Times New Roman"/>
          <w:lang w:val="uk-UA"/>
        </w:rPr>
        <w:t xml:space="preserve">. </w:t>
      </w:r>
    </w:p>
    <w:p w:rsidR="00377511" w:rsidRPr="00224AE0" w:rsidRDefault="00377511" w:rsidP="00377511">
      <w:pPr>
        <w:spacing w:after="0" w:line="240" w:lineRule="auto"/>
        <w:ind w:firstLine="567"/>
        <w:jc w:val="both"/>
        <w:rPr>
          <w:rFonts w:ascii="Times New Roman" w:hAnsi="Times New Roman"/>
        </w:rPr>
      </w:pP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 xml:space="preserve">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мають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 xml:space="preserve">Товариство до початку загальних зборів надає письмові відповіді на письмові запитання акціонерів протягом трьох робочих днів з дати їх отримання, щодо питань, включених до проекту порядку денного загальних зборів, шляхом надсилання простих листів. Товариство може надати одну загальну відповідь на всі запитання однакового змісту, розмістивши її на веб-сайті  </w:t>
      </w:r>
      <w:hyperlink r:id="rId5" w:history="1">
        <w:r w:rsidRPr="00224AE0">
          <w:t>www.unigran.ua</w:t>
        </w:r>
      </w:hyperlink>
      <w:r w:rsidRPr="00224AE0">
        <w:rPr>
          <w:rFonts w:ascii="Times New Roman" w:hAnsi="Times New Roman"/>
        </w:rPr>
        <w:t>.</w:t>
      </w:r>
    </w:p>
    <w:p w:rsidR="00377511" w:rsidRPr="00224AE0" w:rsidRDefault="00377511" w:rsidP="00377511">
      <w:pPr>
        <w:spacing w:after="0" w:line="240" w:lineRule="auto"/>
        <w:ind w:firstLine="567"/>
        <w:jc w:val="both"/>
        <w:rPr>
          <w:rFonts w:ascii="Times New Roman" w:hAnsi="Times New Roman"/>
        </w:rPr>
      </w:pP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 xml:space="preserve">Кожний акціонер має право </w:t>
      </w:r>
      <w:proofErr w:type="spellStart"/>
      <w:r w:rsidRPr="00224AE0">
        <w:rPr>
          <w:rFonts w:ascii="Times New Roman" w:hAnsi="Times New Roman"/>
        </w:rPr>
        <w:t>внести</w:t>
      </w:r>
      <w:proofErr w:type="spellEnd"/>
      <w:r w:rsidRPr="00224AE0">
        <w:rPr>
          <w:rFonts w:ascii="Times New Roman" w:hAnsi="Times New Roman"/>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Пропозиції вносяться не пізніше ніж за 20 днів до дати проведення загальних зборів Товариства, а щодо кандидатів до складу Наглядової ради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377511" w:rsidRPr="00224AE0" w:rsidRDefault="00377511" w:rsidP="00377511">
      <w:pPr>
        <w:spacing w:after="0" w:line="240" w:lineRule="auto"/>
        <w:ind w:firstLine="567"/>
        <w:jc w:val="both"/>
        <w:rPr>
          <w:rFonts w:ascii="Times New Roman" w:hAnsi="Times New Roman"/>
        </w:rPr>
      </w:pP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Для реєстрації та участі у голосуванні на Зборах, акціонери повинні мати при собі документ, що посвідчує їх особу, а представники – документ, що посвідчує їх особу та довіреність.</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 xml:space="preserve">Представником акціонера на загальних зборах акціонерного товариства може бути фізична особа або уповноважена особа юридичної особи. </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377511" w:rsidRPr="00224AE0" w:rsidRDefault="00377511" w:rsidP="00377511">
      <w:pPr>
        <w:spacing w:after="0" w:line="240" w:lineRule="auto"/>
        <w:ind w:firstLine="567"/>
        <w:jc w:val="both"/>
        <w:rPr>
          <w:rFonts w:ascii="Times New Roman" w:hAnsi="Times New Roman"/>
        </w:rPr>
      </w:pPr>
      <w:r w:rsidRPr="00224AE0">
        <w:rPr>
          <w:rFonts w:ascii="Times New Roman" w:hAnsi="Times New Roman"/>
        </w:rPr>
        <w:t>Голосування на Загальних зборах з питань порядку денного проводиться виключно з використанням бюлетенів для голосування.</w:t>
      </w:r>
    </w:p>
    <w:p w:rsidR="00377511" w:rsidRPr="00224AE0" w:rsidRDefault="00377511" w:rsidP="00377511">
      <w:pPr>
        <w:pStyle w:val="a3"/>
        <w:ind w:left="5664" w:hanging="2262"/>
        <w:rPr>
          <w:rFonts w:ascii="Times New Roman" w:hAnsi="Times New Roman"/>
          <w:lang w:val="uk-UA"/>
        </w:rPr>
      </w:pPr>
      <w:r>
        <w:rPr>
          <w:rFonts w:ascii="Times New Roman" w:hAnsi="Times New Roman"/>
          <w:lang w:val="uk-UA"/>
        </w:rPr>
        <w:t xml:space="preserve">                       </w:t>
      </w:r>
      <w:bookmarkStart w:id="0" w:name="_GoBack"/>
      <w:bookmarkEnd w:id="0"/>
      <w:r>
        <w:rPr>
          <w:rFonts w:ascii="Times New Roman" w:hAnsi="Times New Roman"/>
          <w:lang w:val="uk-UA"/>
        </w:rPr>
        <w:t xml:space="preserve">            </w:t>
      </w:r>
      <w:r w:rsidRPr="00224AE0">
        <w:rPr>
          <w:rFonts w:ascii="Times New Roman" w:hAnsi="Times New Roman"/>
          <w:lang w:val="uk-UA"/>
        </w:rPr>
        <w:t>Наглядова рада ПАТ «Коростенський кар’єр»</w:t>
      </w:r>
    </w:p>
    <w:p w:rsidR="00A65C72" w:rsidRPr="00A65C72" w:rsidRDefault="00A65C72" w:rsidP="00A65C72">
      <w:pPr>
        <w:spacing w:before="100" w:beforeAutospacing="1" w:after="100" w:afterAutospacing="1" w:line="240" w:lineRule="auto"/>
        <w:ind w:firstLine="567"/>
        <w:jc w:val="both"/>
        <w:rPr>
          <w:rFonts w:ascii="Times New Roman" w:hAnsi="Times New Roman"/>
          <w:bCs/>
        </w:rPr>
      </w:pPr>
      <w:r w:rsidRPr="00A65C72">
        <w:rPr>
          <w:rFonts w:ascii="Times New Roman" w:hAnsi="Times New Roman"/>
          <w:bCs/>
        </w:rPr>
        <w:t xml:space="preserve">Станом на дату складання переліку осіб, яким надсилається повідомлення про проведення Загальних зборів, а саме на 16 березня 2018 року, загальна кількість акцій складає </w:t>
      </w:r>
      <w:r w:rsidRPr="00A65C72">
        <w:rPr>
          <w:rStyle w:val="xfmc1"/>
          <w:rFonts w:ascii="Times New Roman" w:hAnsi="Times New Roman"/>
        </w:rPr>
        <w:t>3 197</w:t>
      </w:r>
      <w:r w:rsidRPr="00A65C72">
        <w:rPr>
          <w:rStyle w:val="xfmc1"/>
          <w:rFonts w:ascii="Times New Roman" w:hAnsi="Times New Roman"/>
        </w:rPr>
        <w:t> </w:t>
      </w:r>
      <w:r w:rsidRPr="00A65C72">
        <w:rPr>
          <w:rStyle w:val="xfmc1"/>
          <w:rFonts w:ascii="Times New Roman" w:hAnsi="Times New Roman"/>
        </w:rPr>
        <w:t>280</w:t>
      </w:r>
      <w:r>
        <w:rPr>
          <w:rStyle w:val="xfmc1"/>
          <w:rFonts w:ascii="Arial" w:hAnsi="Arial" w:cs="Arial"/>
          <w:sz w:val="20"/>
          <w:szCs w:val="20"/>
        </w:rPr>
        <w:t> </w:t>
      </w:r>
      <w:r w:rsidRPr="00A65C72">
        <w:rPr>
          <w:rFonts w:ascii="Times New Roman" w:hAnsi="Times New Roman"/>
          <w:bCs/>
        </w:rPr>
        <w:t xml:space="preserve">штук простих акцій, з них кількість голосуючих акцій становить </w:t>
      </w:r>
      <w:r w:rsidRPr="00A65C72">
        <w:rPr>
          <w:rStyle w:val="xfmc1"/>
          <w:rFonts w:ascii="Times New Roman" w:hAnsi="Times New Roman"/>
        </w:rPr>
        <w:t>2 573</w:t>
      </w:r>
      <w:r w:rsidRPr="00A65C72">
        <w:rPr>
          <w:rStyle w:val="xfmc1"/>
          <w:rFonts w:ascii="Times New Roman" w:hAnsi="Times New Roman"/>
        </w:rPr>
        <w:t> </w:t>
      </w:r>
      <w:r w:rsidRPr="00A65C72">
        <w:rPr>
          <w:rStyle w:val="xfmc1"/>
          <w:rFonts w:ascii="Times New Roman" w:hAnsi="Times New Roman"/>
        </w:rPr>
        <w:t>172</w:t>
      </w:r>
      <w:r w:rsidRPr="00A65C72">
        <w:rPr>
          <w:rStyle w:val="xfmc1"/>
          <w:rFonts w:ascii="Times New Roman" w:hAnsi="Times New Roman"/>
        </w:rPr>
        <w:t xml:space="preserve"> </w:t>
      </w:r>
      <w:r w:rsidRPr="00A65C72">
        <w:rPr>
          <w:rFonts w:ascii="Times New Roman" w:hAnsi="Times New Roman"/>
          <w:bCs/>
        </w:rPr>
        <w:t>штук.</w:t>
      </w:r>
    </w:p>
    <w:p w:rsidR="00045204" w:rsidRDefault="00A65C72"/>
    <w:sectPr w:rsidR="000452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11"/>
    <w:rsid w:val="00377511"/>
    <w:rsid w:val="00957E5E"/>
    <w:rsid w:val="00A65C72"/>
    <w:rsid w:val="00B16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7D23-E920-484A-8F3C-3F490B32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1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77511"/>
    <w:pPr>
      <w:spacing w:after="0" w:line="240" w:lineRule="auto"/>
    </w:pPr>
    <w:rPr>
      <w:rFonts w:ascii="Calibri" w:eastAsia="Calibri" w:hAnsi="Calibri" w:cs="Times New Roman"/>
      <w:lang w:val="ru-RU"/>
    </w:rPr>
  </w:style>
  <w:style w:type="character" w:styleId="a4">
    <w:name w:val="Hyperlink"/>
    <w:uiPriority w:val="99"/>
    <w:unhideWhenUsed/>
    <w:rsid w:val="00377511"/>
    <w:rPr>
      <w:color w:val="0000FF"/>
      <w:u w:val="single"/>
    </w:rPr>
  </w:style>
  <w:style w:type="paragraph" w:styleId="a5">
    <w:name w:val="List Paragraph"/>
    <w:basedOn w:val="a"/>
    <w:uiPriority w:val="34"/>
    <w:qFormat/>
    <w:rsid w:val="00377511"/>
    <w:pPr>
      <w:spacing w:after="0" w:line="240" w:lineRule="auto"/>
      <w:ind w:left="720"/>
    </w:pPr>
    <w:rPr>
      <w:lang w:eastAsia="uk-UA"/>
    </w:rPr>
  </w:style>
  <w:style w:type="character" w:customStyle="1" w:styleId="xfmc1">
    <w:name w:val="xfmc1"/>
    <w:basedOn w:val="a0"/>
    <w:rsid w:val="00A6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gran.ua" TargetMode="External"/><Relationship Id="rId4" Type="http://schemas.openxmlformats.org/officeDocument/2006/relationships/hyperlink" Target="http://www.unigra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8705</Words>
  <Characters>4963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Тарас</cp:lastModifiedBy>
  <cp:revision>1</cp:revision>
  <dcterms:created xsi:type="dcterms:W3CDTF">2018-03-26T11:24:00Z</dcterms:created>
  <dcterms:modified xsi:type="dcterms:W3CDTF">2018-03-26T12:06:00Z</dcterms:modified>
</cp:coreProperties>
</file>